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81" w:type="dxa"/>
        <w:tblLook w:val="04A0" w:firstRow="1" w:lastRow="0" w:firstColumn="1" w:lastColumn="0" w:noHBand="0" w:noVBand="1"/>
      </w:tblPr>
      <w:tblGrid>
        <w:gridCol w:w="1868"/>
        <w:gridCol w:w="7913"/>
      </w:tblGrid>
      <w:tr w:rsidR="00577CA0" w:rsidRPr="00577CA0" w14:paraId="3F3435B8" w14:textId="77777777" w:rsidTr="00EE5748">
        <w:trPr>
          <w:cantSplit/>
          <w:trHeight w:val="142"/>
        </w:trPr>
        <w:tc>
          <w:tcPr>
            <w:tcW w:w="1868" w:type="dxa"/>
            <w:vMerge w:val="restart"/>
            <w:hideMark/>
          </w:tcPr>
          <w:p w14:paraId="375BD1D2" w14:textId="77777777" w:rsidR="00577CA0" w:rsidRPr="00577CA0" w:rsidRDefault="00577CA0" w:rsidP="00EE5748">
            <w:pPr>
              <w:rPr>
                <w:rFonts w:cs="Arial"/>
                <w:sz w:val="24"/>
                <w:szCs w:val="24"/>
              </w:rPr>
            </w:pPr>
            <w:r w:rsidRPr="00577CA0">
              <w:rPr>
                <w:rFonts w:cs="Arial"/>
                <w:sz w:val="24"/>
                <w:szCs w:val="24"/>
              </w:rPr>
              <w:drawing>
                <wp:inline distT="0" distB="0" distL="0" distR="0" wp14:anchorId="40FCDFA3" wp14:editId="401C46FB">
                  <wp:extent cx="1045845" cy="607695"/>
                  <wp:effectExtent l="0" t="0" r="1905" b="1905"/>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5845" cy="607695"/>
                          </a:xfrm>
                          <a:prstGeom prst="rect">
                            <a:avLst/>
                          </a:prstGeom>
                          <a:noFill/>
                          <a:ln>
                            <a:noFill/>
                          </a:ln>
                        </pic:spPr>
                      </pic:pic>
                    </a:graphicData>
                  </a:graphic>
                </wp:inline>
              </w:drawing>
            </w:r>
          </w:p>
        </w:tc>
        <w:tc>
          <w:tcPr>
            <w:tcW w:w="7913" w:type="dxa"/>
            <w:hideMark/>
          </w:tcPr>
          <w:p w14:paraId="588D48F1" w14:textId="77777777" w:rsidR="00577CA0" w:rsidRPr="00577CA0" w:rsidRDefault="00577CA0" w:rsidP="00577CA0">
            <w:pPr>
              <w:jc w:val="right"/>
              <w:rPr>
                <w:rFonts w:cs="Arial"/>
              </w:rPr>
            </w:pPr>
            <w:r w:rsidRPr="00577CA0">
              <w:rPr>
                <w:rFonts w:cs="Arial"/>
              </w:rPr>
              <w:t>Sayfa 1/</w:t>
            </w:r>
            <w:r w:rsidRPr="00577CA0">
              <w:rPr>
                <w:rFonts w:cs="Arial"/>
              </w:rPr>
              <w:t>1</w:t>
            </w:r>
          </w:p>
        </w:tc>
      </w:tr>
      <w:tr w:rsidR="00577CA0" w:rsidRPr="00577CA0" w14:paraId="683DDF4C" w14:textId="77777777" w:rsidTr="00EE5748">
        <w:trPr>
          <w:cantSplit/>
          <w:trHeight w:val="479"/>
        </w:trPr>
        <w:tc>
          <w:tcPr>
            <w:tcW w:w="0" w:type="auto"/>
            <w:vMerge/>
            <w:vAlign w:val="center"/>
            <w:hideMark/>
          </w:tcPr>
          <w:p w14:paraId="50FDAA76" w14:textId="77777777" w:rsidR="00577CA0" w:rsidRPr="00577CA0" w:rsidRDefault="00577CA0" w:rsidP="00EE5748">
            <w:pPr>
              <w:jc w:val="left"/>
              <w:rPr>
                <w:rFonts w:cs="Arial"/>
                <w:sz w:val="24"/>
                <w:szCs w:val="24"/>
              </w:rPr>
            </w:pPr>
          </w:p>
        </w:tc>
        <w:tc>
          <w:tcPr>
            <w:tcW w:w="7913" w:type="dxa"/>
            <w:hideMark/>
          </w:tcPr>
          <w:p w14:paraId="2E8149CF" w14:textId="77777777" w:rsidR="00577CA0" w:rsidRPr="00577CA0" w:rsidRDefault="00577CA0" w:rsidP="00EE5748">
            <w:pPr>
              <w:pStyle w:val="Balk1"/>
              <w:rPr>
                <w:rFonts w:cs="Arial"/>
                <w:b w:val="0"/>
                <w:sz w:val="24"/>
              </w:rPr>
            </w:pPr>
            <w:bookmarkStart w:id="0" w:name="_Toc56407686"/>
            <w:r w:rsidRPr="00577CA0">
              <w:rPr>
                <w:rFonts w:cs="Arial"/>
                <w:sz w:val="24"/>
              </w:rPr>
              <w:t>T</w:t>
            </w:r>
            <w:bookmarkEnd w:id="0"/>
            <w:r w:rsidRPr="00577CA0">
              <w:rPr>
                <w:rFonts w:cs="Arial"/>
                <w:sz w:val="24"/>
              </w:rPr>
              <w:t>ADİL TASARISI</w:t>
            </w:r>
          </w:p>
          <w:p w14:paraId="30F954FB" w14:textId="77777777" w:rsidR="00577CA0" w:rsidRPr="00577CA0" w:rsidRDefault="00577CA0" w:rsidP="00EE5748">
            <w:pPr>
              <w:rPr>
                <w:rFonts w:cs="Arial"/>
              </w:rPr>
            </w:pPr>
            <w:r w:rsidRPr="00577CA0">
              <w:rPr>
                <w:rFonts w:cs="Arial"/>
              </w:rPr>
              <w:t xml:space="preserve">DRAFT AMENDMENT </w:t>
            </w:r>
          </w:p>
        </w:tc>
      </w:tr>
      <w:tr w:rsidR="00577CA0" w:rsidRPr="00577CA0" w14:paraId="3525E7B2" w14:textId="77777777" w:rsidTr="00EE5748">
        <w:trPr>
          <w:cantSplit/>
          <w:trHeight w:val="242"/>
        </w:trPr>
        <w:tc>
          <w:tcPr>
            <w:tcW w:w="0" w:type="auto"/>
            <w:vMerge/>
            <w:vAlign w:val="center"/>
            <w:hideMark/>
          </w:tcPr>
          <w:p w14:paraId="28AC56B4" w14:textId="77777777" w:rsidR="00577CA0" w:rsidRPr="00577CA0" w:rsidRDefault="00577CA0" w:rsidP="00EE5748">
            <w:pPr>
              <w:jc w:val="left"/>
              <w:rPr>
                <w:rFonts w:cs="Arial"/>
                <w:sz w:val="24"/>
                <w:szCs w:val="24"/>
              </w:rPr>
            </w:pPr>
          </w:p>
        </w:tc>
        <w:tc>
          <w:tcPr>
            <w:tcW w:w="7913" w:type="dxa"/>
          </w:tcPr>
          <w:p w14:paraId="76870709" w14:textId="77777777" w:rsidR="00577CA0" w:rsidRPr="00577CA0" w:rsidRDefault="00577CA0" w:rsidP="00EE5748">
            <w:pPr>
              <w:rPr>
                <w:rFonts w:cs="Arial"/>
                <w:sz w:val="24"/>
                <w:szCs w:val="24"/>
              </w:rPr>
            </w:pPr>
          </w:p>
        </w:tc>
      </w:tr>
    </w:tbl>
    <w:p w14:paraId="0A366239" w14:textId="77777777" w:rsidR="00577CA0" w:rsidRPr="00577CA0" w:rsidRDefault="00577CA0" w:rsidP="00577CA0">
      <w:pPr>
        <w:rPr>
          <w:rFonts w:cs="Arial"/>
          <w:sz w:val="24"/>
          <w:szCs w:val="24"/>
        </w:rPr>
      </w:pPr>
    </w:p>
    <w:tbl>
      <w:tblPr>
        <w:tblW w:w="3739" w:type="dxa"/>
        <w:tblInd w:w="6008" w:type="dxa"/>
        <w:tblLayout w:type="fixed"/>
        <w:tblLook w:val="0000" w:firstRow="0" w:lastRow="0" w:firstColumn="0" w:lastColumn="0" w:noHBand="0" w:noVBand="0"/>
      </w:tblPr>
      <w:tblGrid>
        <w:gridCol w:w="3739"/>
      </w:tblGrid>
      <w:tr w:rsidR="00577CA0" w:rsidRPr="00577CA0" w14:paraId="60828676" w14:textId="77777777" w:rsidTr="00EE5748">
        <w:trPr>
          <w:cantSplit/>
          <w:trHeight w:val="281"/>
        </w:trPr>
        <w:tc>
          <w:tcPr>
            <w:tcW w:w="3739" w:type="dxa"/>
          </w:tcPr>
          <w:p w14:paraId="6362CDEA" w14:textId="77777777" w:rsidR="00577CA0" w:rsidRPr="00577CA0" w:rsidRDefault="00577CA0" w:rsidP="00577CA0">
            <w:pPr>
              <w:pStyle w:val="Balk5"/>
              <w:spacing w:before="0" w:after="0"/>
              <w:jc w:val="left"/>
              <w:rPr>
                <w:rFonts w:cs="Arial"/>
                <w:i w:val="0"/>
                <w:sz w:val="32"/>
                <w:szCs w:val="32"/>
              </w:rPr>
            </w:pPr>
            <w:r w:rsidRPr="00577CA0">
              <w:rPr>
                <w:rFonts w:cs="Arial"/>
                <w:i w:val="0"/>
                <w:sz w:val="32"/>
                <w:szCs w:val="32"/>
              </w:rPr>
              <w:t xml:space="preserve">TS </w:t>
            </w:r>
            <w:r w:rsidRPr="00577CA0">
              <w:rPr>
                <w:rFonts w:cs="Arial"/>
                <w:i w:val="0"/>
                <w:sz w:val="32"/>
                <w:szCs w:val="32"/>
              </w:rPr>
              <w:t>13725</w:t>
            </w:r>
            <w:r w:rsidRPr="00577CA0">
              <w:rPr>
                <w:rFonts w:cs="Arial"/>
                <w:i w:val="0"/>
                <w:sz w:val="32"/>
                <w:szCs w:val="32"/>
              </w:rPr>
              <w:t>: 201</w:t>
            </w:r>
            <w:r w:rsidRPr="00577CA0">
              <w:rPr>
                <w:rFonts w:cs="Arial"/>
                <w:i w:val="0"/>
                <w:sz w:val="32"/>
                <w:szCs w:val="32"/>
              </w:rPr>
              <w:t>8</w:t>
            </w:r>
          </w:p>
        </w:tc>
      </w:tr>
      <w:tr w:rsidR="00577CA0" w:rsidRPr="00577CA0" w14:paraId="1EE640BE" w14:textId="77777777" w:rsidTr="00EE5748">
        <w:trPr>
          <w:cantSplit/>
          <w:trHeight w:val="281"/>
        </w:trPr>
        <w:tc>
          <w:tcPr>
            <w:tcW w:w="3739" w:type="dxa"/>
          </w:tcPr>
          <w:p w14:paraId="0A6D51C2" w14:textId="77777777" w:rsidR="00577CA0" w:rsidRPr="00577CA0" w:rsidRDefault="00577CA0" w:rsidP="00EE5748">
            <w:pPr>
              <w:pStyle w:val="Balk4"/>
              <w:spacing w:before="0" w:after="0"/>
              <w:jc w:val="left"/>
              <w:rPr>
                <w:rFonts w:ascii="Arial" w:hAnsi="Arial" w:cs="Arial"/>
                <w:sz w:val="32"/>
                <w:szCs w:val="32"/>
              </w:rPr>
            </w:pPr>
            <w:r w:rsidRPr="00577CA0">
              <w:rPr>
                <w:rFonts w:ascii="Arial" w:hAnsi="Arial" w:cs="Arial"/>
                <w:iCs/>
                <w:sz w:val="32"/>
                <w:szCs w:val="32"/>
              </w:rPr>
              <w:t>tst T1:</w:t>
            </w:r>
          </w:p>
        </w:tc>
      </w:tr>
    </w:tbl>
    <w:p w14:paraId="024E7485" w14:textId="77777777" w:rsidR="00577CA0" w:rsidRPr="00577CA0" w:rsidRDefault="00577CA0" w:rsidP="00577CA0">
      <w:pPr>
        <w:pStyle w:val="GvdeMetni"/>
        <w:pBdr>
          <w:bottom w:val="single" w:sz="4" w:space="1" w:color="auto"/>
        </w:pBdr>
        <w:rPr>
          <w:rFonts w:cs="Arial"/>
          <w:sz w:val="24"/>
          <w:szCs w:val="24"/>
        </w:rPr>
      </w:pPr>
    </w:p>
    <w:p w14:paraId="16D8CE56" w14:textId="77777777" w:rsidR="00577CA0" w:rsidRPr="00577CA0" w:rsidRDefault="00577CA0" w:rsidP="00577CA0">
      <w:pPr>
        <w:pStyle w:val="GvdeMetni"/>
        <w:pBdr>
          <w:bottom w:val="single" w:sz="4" w:space="1" w:color="auto"/>
        </w:pBdr>
        <w:rPr>
          <w:rFonts w:cs="Arial"/>
          <w:b w:val="0"/>
          <w:sz w:val="24"/>
          <w:szCs w:val="24"/>
        </w:rPr>
      </w:pPr>
      <w:r w:rsidRPr="00577CA0">
        <w:rPr>
          <w:rFonts w:cs="Arial"/>
          <w:bCs/>
          <w:sz w:val="24"/>
          <w:szCs w:val="24"/>
        </w:rPr>
        <w:t>ICS</w:t>
      </w:r>
      <w:r w:rsidRPr="00577CA0">
        <w:rPr>
          <w:rFonts w:cs="Arial"/>
          <w:b w:val="0"/>
          <w:sz w:val="24"/>
          <w:szCs w:val="24"/>
        </w:rPr>
        <w:t xml:space="preserve"> 67.160.20</w:t>
      </w:r>
    </w:p>
    <w:p w14:paraId="16707FAE" w14:textId="77777777" w:rsidR="00577CA0" w:rsidRPr="00577CA0" w:rsidRDefault="00577CA0" w:rsidP="00577CA0">
      <w:pPr>
        <w:jc w:val="center"/>
        <w:rPr>
          <w:rFonts w:cs="Arial"/>
          <w:b/>
          <w:sz w:val="24"/>
          <w:szCs w:val="24"/>
        </w:rPr>
      </w:pPr>
    </w:p>
    <w:p w14:paraId="74DEF6CC" w14:textId="77777777" w:rsidR="00577CA0" w:rsidRPr="00577CA0" w:rsidRDefault="00577CA0" w:rsidP="00577CA0">
      <w:pPr>
        <w:rPr>
          <w:rFonts w:eastAsia="Calibri" w:cs="Arial"/>
          <w:noProof w:val="0"/>
          <w:lang w:eastAsia="en-US"/>
        </w:rPr>
      </w:pPr>
    </w:p>
    <w:p w14:paraId="28AEDFFB" w14:textId="77777777" w:rsidR="00577CA0" w:rsidRPr="00577CA0" w:rsidRDefault="00577CA0" w:rsidP="00577CA0">
      <w:pPr>
        <w:rPr>
          <w:rFonts w:cs="Arial"/>
        </w:rPr>
      </w:pPr>
      <w:r w:rsidRPr="00577CA0">
        <w:rPr>
          <w:rFonts w:cs="Arial"/>
        </w:rPr>
        <w:t xml:space="preserve">Bu tadil, </w:t>
      </w:r>
      <w:r w:rsidRPr="00577CA0">
        <w:rPr>
          <w:rFonts w:cs="Arial"/>
        </w:rPr>
        <w:t xml:space="preserve">TSE </w:t>
      </w:r>
      <w:r w:rsidRPr="00577CA0">
        <w:rPr>
          <w:rFonts w:cs="Arial"/>
        </w:rPr>
        <w:t xml:space="preserve">Kimya İhtisas Kurulu'na bağlı </w:t>
      </w:r>
      <w:r w:rsidRPr="00577CA0">
        <w:rPr>
          <w:rFonts w:cs="Arial"/>
        </w:rPr>
        <w:fldChar w:fldCharType="begin"/>
      </w:r>
      <w:r w:rsidRPr="00577CA0">
        <w:rPr>
          <w:rFonts w:cs="Arial"/>
        </w:rPr>
        <w:instrText xml:space="preserve"> DOCPROPERTY TEKNIK_KOMITE_ADI \* MERGEFORMAT </w:instrText>
      </w:r>
      <w:r w:rsidRPr="00577CA0">
        <w:rPr>
          <w:rFonts w:cs="Arial"/>
        </w:rPr>
        <w:fldChar w:fldCharType="separate"/>
      </w:r>
      <w:r w:rsidRPr="00577CA0">
        <w:rPr>
          <w:rFonts w:cs="Arial"/>
        </w:rPr>
        <w:t>TK15 Petrokimya</w:t>
      </w:r>
      <w:r w:rsidRPr="00577CA0">
        <w:rPr>
          <w:rFonts w:cs="Arial"/>
        </w:rPr>
        <w:fldChar w:fldCharType="end"/>
      </w:r>
      <w:r w:rsidRPr="00577CA0">
        <w:rPr>
          <w:rFonts w:cs="Arial"/>
        </w:rPr>
        <w:t xml:space="preserve"> Teknik Komitesi tarafından hazırlanmış ve TSE Teknik Kurulu’nun …… tarihli toplantısında kabul edilerek yayımına karar verilmiştir.</w:t>
      </w:r>
    </w:p>
    <w:p w14:paraId="57D35B00" w14:textId="77777777" w:rsidR="00577CA0" w:rsidRPr="00577CA0" w:rsidRDefault="00577CA0" w:rsidP="00577CA0">
      <w:pPr>
        <w:rPr>
          <w:rFonts w:cs="Arial"/>
          <w:sz w:val="24"/>
          <w:szCs w:val="24"/>
        </w:rPr>
      </w:pPr>
    </w:p>
    <w:tbl>
      <w:tblPr>
        <w:tblW w:w="9673" w:type="dxa"/>
        <w:jc w:val="center"/>
        <w:tblLook w:val="0000" w:firstRow="0" w:lastRow="0" w:firstColumn="0" w:lastColumn="0" w:noHBand="0" w:noVBand="0"/>
      </w:tblPr>
      <w:tblGrid>
        <w:gridCol w:w="9673"/>
      </w:tblGrid>
      <w:tr w:rsidR="00577CA0" w:rsidRPr="00577CA0" w14:paraId="5A74214B" w14:textId="77777777" w:rsidTr="00577CA0">
        <w:trPr>
          <w:jc w:val="center"/>
        </w:trPr>
        <w:tc>
          <w:tcPr>
            <w:tcW w:w="9673" w:type="dxa"/>
          </w:tcPr>
          <w:p w14:paraId="6256FF64" w14:textId="77777777" w:rsidR="00577CA0" w:rsidRPr="00577CA0" w:rsidRDefault="00577CA0" w:rsidP="00577CA0">
            <w:pPr>
              <w:pStyle w:val="zzCoverTr"/>
              <w:spacing w:before="0"/>
              <w:ind w:left="132"/>
              <w:jc w:val="center"/>
              <w:rPr>
                <w:rFonts w:ascii="Arial" w:hAnsi="Arial"/>
                <w:b/>
                <w:sz w:val="28"/>
                <w:szCs w:val="28"/>
              </w:rPr>
            </w:pPr>
            <w:r w:rsidRPr="00577CA0">
              <w:rPr>
                <w:rFonts w:ascii="Arial" w:hAnsi="Arial"/>
                <w:b/>
                <w:sz w:val="28"/>
                <w:szCs w:val="28"/>
              </w:rPr>
              <w:t>İzolasyon ceketleri -</w:t>
            </w:r>
            <w:r w:rsidRPr="00577CA0">
              <w:rPr>
                <w:rFonts w:ascii="Arial" w:hAnsi="Arial"/>
                <w:b/>
                <w:sz w:val="28"/>
                <w:szCs w:val="28"/>
              </w:rPr>
              <w:t xml:space="preserve"> Vana ve tesisat armatürlerinde kullanılan</w:t>
            </w:r>
          </w:p>
          <w:p w14:paraId="3E908ADA" w14:textId="77777777" w:rsidR="00577CA0" w:rsidRPr="00577CA0" w:rsidRDefault="00577CA0" w:rsidP="00EE5748">
            <w:pPr>
              <w:pStyle w:val="GvdeMetni"/>
              <w:jc w:val="center"/>
              <w:rPr>
                <w:rFonts w:cs="Arial"/>
                <w:b w:val="0"/>
                <w:sz w:val="28"/>
                <w:szCs w:val="28"/>
              </w:rPr>
            </w:pPr>
          </w:p>
          <w:p w14:paraId="4A2B99C6" w14:textId="77777777" w:rsidR="00577CA0" w:rsidRPr="00577CA0" w:rsidRDefault="00577CA0" w:rsidP="00577CA0">
            <w:pPr>
              <w:pStyle w:val="zzCoverEn"/>
              <w:jc w:val="center"/>
              <w:rPr>
                <w:rFonts w:ascii="Arial" w:hAnsi="Arial"/>
                <w:sz w:val="28"/>
                <w:szCs w:val="28"/>
              </w:rPr>
            </w:pPr>
            <w:r w:rsidRPr="00577CA0">
              <w:rPr>
                <w:rFonts w:ascii="Arial" w:hAnsi="Arial"/>
                <w:sz w:val="28"/>
                <w:szCs w:val="28"/>
              </w:rPr>
              <w:t>Insulation jackets for valve and assembly armatures</w:t>
            </w:r>
          </w:p>
          <w:p w14:paraId="05B70CD6" w14:textId="77777777" w:rsidR="00577CA0" w:rsidRPr="00577CA0" w:rsidRDefault="00577CA0" w:rsidP="00EE5748">
            <w:pPr>
              <w:pStyle w:val="GvdeMetni"/>
              <w:jc w:val="center"/>
              <w:rPr>
                <w:rFonts w:cs="Arial"/>
                <w:b w:val="0"/>
                <w:sz w:val="28"/>
                <w:szCs w:val="28"/>
              </w:rPr>
            </w:pPr>
          </w:p>
        </w:tc>
      </w:tr>
    </w:tbl>
    <w:p w14:paraId="342E12E3" w14:textId="77777777" w:rsidR="00577CA0" w:rsidRPr="00577CA0" w:rsidRDefault="00577CA0" w:rsidP="00577CA0">
      <w:pPr>
        <w:rPr>
          <w:rFonts w:eastAsia="SimSun" w:cs="Arial"/>
          <w:sz w:val="24"/>
          <w:szCs w:val="24"/>
        </w:rPr>
      </w:pPr>
    </w:p>
    <w:p w14:paraId="669763BB" w14:textId="77777777" w:rsidR="00577CA0" w:rsidRPr="00577CA0" w:rsidRDefault="00577CA0" w:rsidP="00577CA0">
      <w:pPr>
        <w:rPr>
          <w:rFonts w:eastAsia="SimSun" w:cs="Arial"/>
        </w:rPr>
      </w:pPr>
    </w:p>
    <w:p w14:paraId="58D9F1E5" w14:textId="77777777" w:rsidR="00577CA0" w:rsidRPr="00577CA0" w:rsidRDefault="00577CA0" w:rsidP="00577CA0">
      <w:pPr>
        <w:rPr>
          <w:rFonts w:eastAsia="SimSun" w:cs="Arial"/>
        </w:rPr>
      </w:pPr>
    </w:p>
    <w:p w14:paraId="3C21CCC9" w14:textId="77777777" w:rsidR="00577CA0" w:rsidRPr="00577CA0" w:rsidRDefault="00577CA0" w:rsidP="00577CA0">
      <w:pPr>
        <w:pStyle w:val="Balk1"/>
      </w:pPr>
      <w:r w:rsidRPr="00577CA0">
        <w:t xml:space="preserve">2 </w:t>
      </w:r>
      <w:r>
        <w:tab/>
      </w:r>
      <w:r w:rsidRPr="00577CA0">
        <w:t>Bağlayıcı atıflar</w:t>
      </w:r>
    </w:p>
    <w:p w14:paraId="77BA18C0" w14:textId="77777777" w:rsidR="00577CA0" w:rsidRPr="00577CA0" w:rsidRDefault="00577CA0" w:rsidP="00577CA0">
      <w:pPr>
        <w:rPr>
          <w:rFonts w:cs="Arial"/>
        </w:rPr>
      </w:pPr>
      <w:r w:rsidRPr="00577CA0">
        <w:rPr>
          <w:rFonts w:cs="Arial"/>
        </w:rPr>
        <w:t>Aşağıda belirtilen atıflar metinden çıkartılmıştır.</w:t>
      </w:r>
    </w:p>
    <w:p w14:paraId="395486DF" w14:textId="77777777" w:rsidR="00577CA0" w:rsidRPr="00577CA0" w:rsidRDefault="00577CA0" w:rsidP="00577CA0">
      <w:pPr>
        <w:rPr>
          <w:rFonts w:cs="Arial"/>
        </w:rPr>
      </w:pPr>
    </w:p>
    <w:tbl>
      <w:tblPr>
        <w:tblW w:w="9600" w:type="dxa"/>
        <w:tblInd w:w="56" w:type="dxa"/>
        <w:tblBorders>
          <w:top w:val="single" w:sz="6" w:space="0" w:color="auto"/>
          <w:left w:val="single" w:sz="6" w:space="0" w:color="auto"/>
          <w:bottom w:val="single" w:sz="4" w:space="0" w:color="auto"/>
          <w:right w:val="single" w:sz="6" w:space="0" w:color="auto"/>
          <w:insideH w:val="single" w:sz="4" w:space="0" w:color="auto"/>
          <w:insideV w:val="single" w:sz="6" w:space="0" w:color="auto"/>
        </w:tblBorders>
        <w:shd w:val="clear" w:color="auto" w:fill="FFFFFF"/>
        <w:tblLayout w:type="fixed"/>
        <w:tblCellMar>
          <w:left w:w="56" w:type="dxa"/>
          <w:right w:w="56" w:type="dxa"/>
        </w:tblCellMar>
        <w:tblLook w:val="04A0" w:firstRow="1" w:lastRow="0" w:firstColumn="1" w:lastColumn="0" w:noHBand="0" w:noVBand="1"/>
      </w:tblPr>
      <w:tblGrid>
        <w:gridCol w:w="1560"/>
        <w:gridCol w:w="3827"/>
        <w:gridCol w:w="4213"/>
      </w:tblGrid>
      <w:tr w:rsidR="00577CA0" w:rsidRPr="00577CA0" w14:paraId="20DECBF6" w14:textId="77777777" w:rsidTr="00577CA0">
        <w:trPr>
          <w:trHeight w:val="397"/>
        </w:trPr>
        <w:tc>
          <w:tcPr>
            <w:tcW w:w="1560" w:type="dxa"/>
            <w:tcBorders>
              <w:top w:val="single" w:sz="4" w:space="0" w:color="auto"/>
              <w:left w:val="single" w:sz="6" w:space="0" w:color="auto"/>
              <w:bottom w:val="single" w:sz="4" w:space="0" w:color="auto"/>
              <w:right w:val="single" w:sz="6" w:space="0" w:color="auto"/>
            </w:tcBorders>
            <w:shd w:val="clear" w:color="auto" w:fill="FFFFFF"/>
            <w:vAlign w:val="center"/>
            <w:hideMark/>
          </w:tcPr>
          <w:p w14:paraId="7AC6DC12" w14:textId="77777777" w:rsidR="00577CA0" w:rsidRPr="00577CA0" w:rsidRDefault="00577CA0" w:rsidP="00EE5748">
            <w:pPr>
              <w:pStyle w:val="GvdeMetni"/>
              <w:tabs>
                <w:tab w:val="left" w:pos="1000"/>
              </w:tabs>
              <w:jc w:val="center"/>
              <w:rPr>
                <w:rFonts w:cs="Arial"/>
                <w:b w:val="0"/>
              </w:rPr>
            </w:pPr>
            <w:r w:rsidRPr="00577CA0">
              <w:rPr>
                <w:rFonts w:cs="Arial"/>
              </w:rPr>
              <w:t>TS No</w:t>
            </w:r>
          </w:p>
        </w:tc>
        <w:tc>
          <w:tcPr>
            <w:tcW w:w="3827" w:type="dxa"/>
            <w:tcBorders>
              <w:top w:val="single" w:sz="4" w:space="0" w:color="auto"/>
              <w:left w:val="single" w:sz="6" w:space="0" w:color="auto"/>
              <w:bottom w:val="single" w:sz="4" w:space="0" w:color="auto"/>
              <w:right w:val="single" w:sz="6" w:space="0" w:color="auto"/>
            </w:tcBorders>
            <w:shd w:val="clear" w:color="auto" w:fill="FFFFFF"/>
            <w:vAlign w:val="center"/>
            <w:hideMark/>
          </w:tcPr>
          <w:p w14:paraId="39F58E2F" w14:textId="77777777" w:rsidR="00577CA0" w:rsidRPr="00577CA0" w:rsidRDefault="00577CA0" w:rsidP="00EE5748">
            <w:pPr>
              <w:pStyle w:val="GvdeMetni"/>
              <w:tabs>
                <w:tab w:val="left" w:pos="1000"/>
              </w:tabs>
              <w:jc w:val="center"/>
              <w:rPr>
                <w:rFonts w:cs="Arial"/>
                <w:b w:val="0"/>
                <w:vertAlign w:val="superscript"/>
              </w:rPr>
            </w:pPr>
            <w:r w:rsidRPr="00577CA0">
              <w:rPr>
                <w:rFonts w:cs="Arial"/>
              </w:rPr>
              <w:t>Türkçe adı</w:t>
            </w:r>
          </w:p>
        </w:tc>
        <w:tc>
          <w:tcPr>
            <w:tcW w:w="4213" w:type="dxa"/>
            <w:tcBorders>
              <w:top w:val="single" w:sz="4" w:space="0" w:color="auto"/>
              <w:left w:val="single" w:sz="6" w:space="0" w:color="auto"/>
              <w:bottom w:val="single" w:sz="4" w:space="0" w:color="auto"/>
              <w:right w:val="single" w:sz="6" w:space="0" w:color="auto"/>
            </w:tcBorders>
            <w:shd w:val="clear" w:color="auto" w:fill="FFFFFF"/>
            <w:vAlign w:val="center"/>
            <w:hideMark/>
          </w:tcPr>
          <w:p w14:paraId="1C5C6D6E" w14:textId="77777777" w:rsidR="00577CA0" w:rsidRPr="00577CA0" w:rsidRDefault="00577CA0" w:rsidP="00EE5748">
            <w:pPr>
              <w:pStyle w:val="GvdeMetni"/>
              <w:tabs>
                <w:tab w:val="left" w:pos="1000"/>
              </w:tabs>
              <w:jc w:val="center"/>
              <w:rPr>
                <w:rFonts w:cs="Arial"/>
                <w:b w:val="0"/>
              </w:rPr>
            </w:pPr>
            <w:r w:rsidRPr="00577CA0">
              <w:rPr>
                <w:rFonts w:cs="Arial"/>
              </w:rPr>
              <w:t>İngilizce adı</w:t>
            </w:r>
          </w:p>
        </w:tc>
      </w:tr>
      <w:tr w:rsidR="00577CA0" w:rsidRPr="00577CA0" w14:paraId="5DB40D4B" w14:textId="77777777" w:rsidTr="00577CA0">
        <w:trPr>
          <w:trHeight w:val="397"/>
        </w:trPr>
        <w:tc>
          <w:tcPr>
            <w:tcW w:w="1560" w:type="dxa"/>
            <w:tcBorders>
              <w:top w:val="single" w:sz="4" w:space="0" w:color="auto"/>
              <w:left w:val="single" w:sz="6" w:space="0" w:color="auto"/>
              <w:bottom w:val="single" w:sz="4" w:space="0" w:color="auto"/>
              <w:right w:val="single" w:sz="6" w:space="0" w:color="auto"/>
            </w:tcBorders>
            <w:shd w:val="clear" w:color="auto" w:fill="FFFFFF"/>
            <w:hideMark/>
          </w:tcPr>
          <w:p w14:paraId="1E435C49" w14:textId="77777777" w:rsidR="00577CA0" w:rsidRDefault="00577CA0" w:rsidP="00577CA0">
            <w:pPr>
              <w:tabs>
                <w:tab w:val="left" w:pos="210"/>
              </w:tabs>
              <w:jc w:val="left"/>
              <w:rPr>
                <w:rFonts w:cs="Arial"/>
              </w:rPr>
            </w:pPr>
            <w:r w:rsidRPr="00577CA0">
              <w:rPr>
                <w:rFonts w:cs="Arial"/>
              </w:rPr>
              <w:t xml:space="preserve">TS 1635 </w:t>
            </w:r>
          </w:p>
          <w:p w14:paraId="19380DAD" w14:textId="77777777" w:rsidR="00577CA0" w:rsidRPr="00577CA0" w:rsidRDefault="00577CA0" w:rsidP="00577CA0">
            <w:pPr>
              <w:tabs>
                <w:tab w:val="left" w:pos="210"/>
              </w:tabs>
              <w:jc w:val="left"/>
              <w:rPr>
                <w:rFonts w:cs="Arial"/>
              </w:rPr>
            </w:pPr>
            <w:r w:rsidRPr="00577CA0">
              <w:rPr>
                <w:rFonts w:cs="Arial"/>
              </w:rPr>
              <w:t>ISO 2113</w:t>
            </w:r>
          </w:p>
        </w:tc>
        <w:tc>
          <w:tcPr>
            <w:tcW w:w="3827" w:type="dxa"/>
            <w:tcBorders>
              <w:top w:val="single" w:sz="4" w:space="0" w:color="auto"/>
              <w:left w:val="single" w:sz="6" w:space="0" w:color="auto"/>
              <w:bottom w:val="single" w:sz="4" w:space="0" w:color="auto"/>
              <w:right w:val="single" w:sz="6" w:space="0" w:color="auto"/>
            </w:tcBorders>
            <w:shd w:val="clear" w:color="auto" w:fill="FFFFFF"/>
            <w:hideMark/>
          </w:tcPr>
          <w:p w14:paraId="16715F52" w14:textId="77777777" w:rsidR="00577CA0" w:rsidRPr="00577CA0" w:rsidRDefault="00577CA0" w:rsidP="00577CA0">
            <w:pPr>
              <w:tabs>
                <w:tab w:val="left" w:pos="210"/>
              </w:tabs>
              <w:jc w:val="left"/>
              <w:rPr>
                <w:rFonts w:cs="Arial"/>
                <w:bCs/>
              </w:rPr>
            </w:pPr>
            <w:r w:rsidRPr="00577CA0">
              <w:rPr>
                <w:rFonts w:cs="Arial"/>
                <w:bCs/>
              </w:rPr>
              <w:t>Takviye elyafı - Dokunmuş kumaşlar</w:t>
            </w:r>
          </w:p>
        </w:tc>
        <w:tc>
          <w:tcPr>
            <w:tcW w:w="4213" w:type="dxa"/>
            <w:tcBorders>
              <w:top w:val="single" w:sz="4" w:space="0" w:color="auto"/>
              <w:left w:val="single" w:sz="6" w:space="0" w:color="auto"/>
              <w:bottom w:val="single" w:sz="4" w:space="0" w:color="auto"/>
              <w:right w:val="single" w:sz="6" w:space="0" w:color="auto"/>
            </w:tcBorders>
            <w:shd w:val="clear" w:color="auto" w:fill="FFFFFF"/>
            <w:hideMark/>
          </w:tcPr>
          <w:p w14:paraId="16628C7B" w14:textId="77777777" w:rsidR="00577CA0" w:rsidRPr="00577CA0" w:rsidRDefault="00577CA0" w:rsidP="00577CA0">
            <w:pPr>
              <w:tabs>
                <w:tab w:val="left" w:pos="210"/>
              </w:tabs>
              <w:jc w:val="left"/>
              <w:rPr>
                <w:rFonts w:cs="Arial"/>
                <w:bCs/>
                <w:lang w:val="en-US"/>
              </w:rPr>
            </w:pPr>
            <w:r w:rsidRPr="00577CA0">
              <w:rPr>
                <w:rFonts w:cs="Arial"/>
                <w:bCs/>
                <w:lang w:val="en-US"/>
              </w:rPr>
              <w:t>Reinforcement fibres - Woven fabrics for a specification</w:t>
            </w:r>
          </w:p>
        </w:tc>
      </w:tr>
      <w:tr w:rsidR="00577CA0" w:rsidRPr="00577CA0" w14:paraId="78133DB4" w14:textId="77777777" w:rsidTr="00577CA0">
        <w:trPr>
          <w:trHeight w:val="397"/>
        </w:trPr>
        <w:tc>
          <w:tcPr>
            <w:tcW w:w="1560" w:type="dxa"/>
            <w:tcBorders>
              <w:top w:val="single" w:sz="4" w:space="0" w:color="auto"/>
              <w:left w:val="single" w:sz="6" w:space="0" w:color="auto"/>
              <w:bottom w:val="single" w:sz="4" w:space="0" w:color="auto"/>
              <w:right w:val="single" w:sz="6" w:space="0" w:color="auto"/>
            </w:tcBorders>
            <w:shd w:val="clear" w:color="auto" w:fill="FFFFFF"/>
            <w:hideMark/>
          </w:tcPr>
          <w:p w14:paraId="5F6EE271" w14:textId="77777777" w:rsidR="00577CA0" w:rsidRPr="00577CA0" w:rsidDel="0008135D" w:rsidRDefault="00577CA0" w:rsidP="00577CA0">
            <w:pPr>
              <w:tabs>
                <w:tab w:val="left" w:pos="210"/>
              </w:tabs>
              <w:jc w:val="left"/>
              <w:rPr>
                <w:rFonts w:cs="Arial"/>
              </w:rPr>
            </w:pPr>
            <w:r w:rsidRPr="00577CA0">
              <w:rPr>
                <w:rFonts w:cs="Arial"/>
              </w:rPr>
              <w:t>TS ISO/TR4558</w:t>
            </w:r>
          </w:p>
        </w:tc>
        <w:tc>
          <w:tcPr>
            <w:tcW w:w="3827" w:type="dxa"/>
            <w:tcBorders>
              <w:top w:val="single" w:sz="4" w:space="0" w:color="auto"/>
              <w:left w:val="single" w:sz="6" w:space="0" w:color="auto"/>
              <w:bottom w:val="single" w:sz="4" w:space="0" w:color="auto"/>
              <w:right w:val="single" w:sz="6" w:space="0" w:color="auto"/>
            </w:tcBorders>
            <w:shd w:val="clear" w:color="auto" w:fill="FFFFFF"/>
            <w:hideMark/>
          </w:tcPr>
          <w:p w14:paraId="3BF1EDFB" w14:textId="77777777" w:rsidR="00577CA0" w:rsidRPr="00577CA0" w:rsidDel="0008135D" w:rsidRDefault="00577CA0" w:rsidP="00577CA0">
            <w:pPr>
              <w:tabs>
                <w:tab w:val="left" w:pos="210"/>
              </w:tabs>
              <w:jc w:val="left"/>
              <w:rPr>
                <w:rFonts w:cs="Arial"/>
                <w:bCs/>
              </w:rPr>
            </w:pPr>
            <w:r w:rsidRPr="00577CA0">
              <w:rPr>
                <w:rFonts w:cs="Arial"/>
              </w:rPr>
              <w:t>Küçük tekne - Paslanmaz çelik tel halatlar için ge</w:t>
            </w:r>
            <w:bookmarkStart w:id="1" w:name="_GoBack"/>
            <w:bookmarkEnd w:id="1"/>
            <w:r w:rsidRPr="00577CA0">
              <w:rPr>
                <w:rFonts w:cs="Arial"/>
              </w:rPr>
              <w:t>rme vidaları - Çatallar, bağlantı pimleri ve göz açıklıkları için temel boyutlar</w:t>
            </w:r>
          </w:p>
        </w:tc>
        <w:tc>
          <w:tcPr>
            <w:tcW w:w="4213" w:type="dxa"/>
            <w:tcBorders>
              <w:top w:val="single" w:sz="4" w:space="0" w:color="auto"/>
              <w:left w:val="single" w:sz="6" w:space="0" w:color="auto"/>
              <w:bottom w:val="single" w:sz="4" w:space="0" w:color="auto"/>
              <w:right w:val="single" w:sz="6" w:space="0" w:color="auto"/>
            </w:tcBorders>
            <w:shd w:val="clear" w:color="auto" w:fill="FFFFFF"/>
            <w:hideMark/>
          </w:tcPr>
          <w:p w14:paraId="4B43835C" w14:textId="77777777" w:rsidR="00577CA0" w:rsidRPr="00577CA0" w:rsidDel="0008135D" w:rsidRDefault="00577CA0" w:rsidP="00577CA0">
            <w:pPr>
              <w:tabs>
                <w:tab w:val="left" w:pos="210"/>
              </w:tabs>
              <w:jc w:val="left"/>
              <w:rPr>
                <w:rFonts w:cs="Arial"/>
                <w:bCs/>
                <w:lang w:val="en-US"/>
              </w:rPr>
            </w:pPr>
            <w:r w:rsidRPr="00577CA0">
              <w:rPr>
                <w:rFonts w:cs="Arial"/>
                <w:lang w:val="en-US"/>
              </w:rPr>
              <w:t>Small craft - Rigging screws for stainless steel wire rope - Principal dimensions for forks, connection pins and eye-holes</w:t>
            </w:r>
          </w:p>
        </w:tc>
      </w:tr>
    </w:tbl>
    <w:p w14:paraId="15332811" w14:textId="77777777" w:rsidR="00577CA0" w:rsidRPr="00577CA0" w:rsidRDefault="00577CA0" w:rsidP="00577CA0">
      <w:pPr>
        <w:rPr>
          <w:rFonts w:cs="Arial"/>
        </w:rPr>
      </w:pPr>
    </w:p>
    <w:p w14:paraId="6694C973" w14:textId="77777777" w:rsidR="00577CA0" w:rsidRPr="00577CA0" w:rsidRDefault="00577CA0" w:rsidP="00577CA0">
      <w:pPr>
        <w:rPr>
          <w:rFonts w:cs="Arial"/>
        </w:rPr>
      </w:pPr>
    </w:p>
    <w:p w14:paraId="7501203C" w14:textId="77777777" w:rsidR="00577CA0" w:rsidRPr="00577CA0" w:rsidRDefault="00577CA0" w:rsidP="00577CA0">
      <w:pPr>
        <w:rPr>
          <w:rFonts w:cs="Arial"/>
          <w:b/>
          <w:sz w:val="22"/>
          <w:szCs w:val="22"/>
        </w:rPr>
      </w:pPr>
      <w:r w:rsidRPr="00577CA0">
        <w:rPr>
          <w:rFonts w:cs="Arial"/>
          <w:b/>
          <w:sz w:val="22"/>
          <w:szCs w:val="22"/>
        </w:rPr>
        <w:t>4.2.2.1</w:t>
      </w:r>
    </w:p>
    <w:p w14:paraId="473E875F" w14:textId="77777777" w:rsidR="00577CA0" w:rsidRDefault="00577CA0" w:rsidP="00577CA0">
      <w:pPr>
        <w:rPr>
          <w:rFonts w:cs="Arial"/>
        </w:rPr>
      </w:pPr>
      <w:r w:rsidRPr="00577CA0">
        <w:rPr>
          <w:rFonts w:cs="Arial"/>
        </w:rPr>
        <w:t>Aşağıda verilen bu maddenin ilk cümlesi standart metninden çıkartılmıştır:</w:t>
      </w:r>
    </w:p>
    <w:p w14:paraId="44DC1ECE" w14:textId="77777777" w:rsidR="00577CA0" w:rsidRPr="00577CA0" w:rsidRDefault="00577CA0" w:rsidP="00577CA0">
      <w:pPr>
        <w:rPr>
          <w:rFonts w:cs="Arial"/>
        </w:rPr>
      </w:pPr>
    </w:p>
    <w:p w14:paraId="4B968FC4" w14:textId="77777777" w:rsidR="00577CA0" w:rsidRPr="00577CA0" w:rsidRDefault="00577CA0" w:rsidP="00577CA0">
      <w:pPr>
        <w:tabs>
          <w:tab w:val="left" w:pos="210"/>
        </w:tabs>
        <w:rPr>
          <w:rFonts w:cs="Arial"/>
        </w:rPr>
      </w:pPr>
      <w:r w:rsidRPr="00577CA0">
        <w:rPr>
          <w:rFonts w:cs="Arial"/>
        </w:rPr>
        <w:t>Cam elyaf kumaşlar, TS 1635 ISO 2113’e uygun olmalıdır.</w:t>
      </w:r>
    </w:p>
    <w:p w14:paraId="6A161E41" w14:textId="77777777" w:rsidR="00577CA0" w:rsidRPr="00577CA0" w:rsidRDefault="00577CA0" w:rsidP="00577CA0">
      <w:pPr>
        <w:rPr>
          <w:rFonts w:cs="Arial"/>
        </w:rPr>
      </w:pPr>
    </w:p>
    <w:p w14:paraId="6D938B76" w14:textId="77777777" w:rsidR="00577CA0" w:rsidRPr="00577CA0" w:rsidRDefault="00577CA0" w:rsidP="00577CA0">
      <w:pPr>
        <w:rPr>
          <w:rFonts w:cs="Arial"/>
          <w:b/>
          <w:sz w:val="22"/>
          <w:szCs w:val="22"/>
        </w:rPr>
      </w:pPr>
      <w:r w:rsidRPr="00577CA0">
        <w:rPr>
          <w:rFonts w:cs="Arial"/>
          <w:b/>
          <w:sz w:val="22"/>
          <w:szCs w:val="22"/>
        </w:rPr>
        <w:t>4.2.2.5</w:t>
      </w:r>
    </w:p>
    <w:p w14:paraId="505A24A1" w14:textId="77777777" w:rsidR="00577CA0" w:rsidRDefault="00577CA0" w:rsidP="00577CA0">
      <w:pPr>
        <w:rPr>
          <w:rFonts w:cs="Arial"/>
        </w:rPr>
      </w:pPr>
      <w:r w:rsidRPr="00577CA0">
        <w:rPr>
          <w:rFonts w:cs="Arial"/>
        </w:rPr>
        <w:t>Bu maddenin ikinci paragrafı aşağıdaki şekilde yeniden düzenlenmiştir.</w:t>
      </w:r>
    </w:p>
    <w:p w14:paraId="2D3C0A95" w14:textId="77777777" w:rsidR="00577CA0" w:rsidRPr="00577CA0" w:rsidRDefault="00577CA0" w:rsidP="00577CA0">
      <w:pPr>
        <w:rPr>
          <w:rFonts w:cs="Arial"/>
        </w:rPr>
      </w:pPr>
    </w:p>
    <w:p w14:paraId="736EC4A7" w14:textId="77777777" w:rsidR="00577CA0" w:rsidRDefault="00577CA0" w:rsidP="00577CA0">
      <w:pPr>
        <w:rPr>
          <w:rFonts w:cs="Arial"/>
        </w:rPr>
      </w:pPr>
      <w:r w:rsidRPr="00577CA0">
        <w:rPr>
          <w:rFonts w:cs="Arial"/>
        </w:rPr>
        <w:t>Sınıf 2 ve Sınıf 3 e uygun vana ceketlerinin üretiminde vana ceketinin armatür üzerine bağlanması kopça ve teller yardımıyla yapılmalıdır. Bağlama kopça, tel ve pulları paslanmaz çelikten imal edilmelidir. Vana ceketinin iç ve dış yüzeyinde kopça ve tellerin vana ceketine zarar vermemesi için vana ceketinin iki yüzeyinde de paslanmaz pullar kullanılmalıdır. Sınıf 1 ve Sınıf 4’e uygun vana ceketlerinin üretiminde vana ceketinin armatür üzerine bağlanması en az 5 cm eninde cırt bant yardımı ile yapılmalıdır.</w:t>
      </w:r>
    </w:p>
    <w:p w14:paraId="7B7B224A" w14:textId="77777777" w:rsidR="00577CA0" w:rsidRPr="00577CA0" w:rsidRDefault="00577CA0" w:rsidP="00577CA0">
      <w:pPr>
        <w:rPr>
          <w:rFonts w:cs="Arial"/>
        </w:rPr>
      </w:pPr>
    </w:p>
    <w:p w14:paraId="3DDF792E" w14:textId="77777777" w:rsidR="00577CA0" w:rsidRPr="00577CA0" w:rsidRDefault="00577CA0" w:rsidP="00577CA0">
      <w:pPr>
        <w:tabs>
          <w:tab w:val="left" w:pos="-560"/>
        </w:tabs>
        <w:rPr>
          <w:rFonts w:cs="Arial"/>
        </w:rPr>
      </w:pPr>
    </w:p>
    <w:p w14:paraId="41389CC6" w14:textId="77777777" w:rsidR="00577CA0" w:rsidRDefault="00577CA0" w:rsidP="00577CA0">
      <w:pPr>
        <w:tabs>
          <w:tab w:val="left" w:pos="-560"/>
        </w:tabs>
        <w:rPr>
          <w:rFonts w:cs="Arial"/>
        </w:rPr>
      </w:pPr>
      <w:r w:rsidRPr="00577CA0">
        <w:rPr>
          <w:rFonts w:cs="Arial"/>
        </w:rPr>
        <w:t>Bu maddenin üçüncü paragrafı olan aşağıdaki cümle metinden çıkartılmıştır.</w:t>
      </w:r>
    </w:p>
    <w:p w14:paraId="33E32136" w14:textId="77777777" w:rsidR="00577CA0" w:rsidRPr="00577CA0" w:rsidRDefault="00577CA0" w:rsidP="00577CA0">
      <w:pPr>
        <w:tabs>
          <w:tab w:val="left" w:pos="-560"/>
        </w:tabs>
        <w:rPr>
          <w:rFonts w:cs="Arial"/>
        </w:rPr>
      </w:pPr>
    </w:p>
    <w:p w14:paraId="2B7DE0D2" w14:textId="77777777" w:rsidR="00577CA0" w:rsidRPr="00577CA0" w:rsidRDefault="00577CA0" w:rsidP="00577CA0">
      <w:pPr>
        <w:tabs>
          <w:tab w:val="left" w:pos="-560"/>
        </w:tabs>
        <w:rPr>
          <w:rFonts w:cs="Arial"/>
        </w:rPr>
      </w:pPr>
      <w:r w:rsidRPr="00577CA0">
        <w:rPr>
          <w:rFonts w:cs="Arial"/>
        </w:rPr>
        <w:t>304 kalite paslanmaz çelikten yapılan bağlama telinin özellikleri TS ISO/TR 4558 standardına uygun olmalıdır.</w:t>
      </w:r>
    </w:p>
    <w:p w14:paraId="1726A7B7" w14:textId="77777777" w:rsidR="00B9753D" w:rsidRPr="00577CA0" w:rsidRDefault="00B9753D">
      <w:pPr>
        <w:rPr>
          <w:rFonts w:cs="Arial"/>
        </w:rPr>
      </w:pPr>
    </w:p>
    <w:sectPr w:rsidR="00B9753D" w:rsidRPr="00577CA0" w:rsidSect="00577CA0">
      <w:pgSz w:w="11906" w:h="16838" w:code="9"/>
      <w:pgMar w:top="1418" w:right="1134" w:bottom="1134" w:left="1134" w:header="851" w:footer="851"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2"/>
    <w:family w:val="swiss"/>
    <w:pitch w:val="variable"/>
    <w:sig w:usb0="E0002E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A2"/>
    <w:family w:val="swiss"/>
    <w:pitch w:val="variable"/>
    <w:sig w:usb0="A00002EF" w:usb1="4000207B" w:usb2="00000000" w:usb3="00000000" w:csb0="0000019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6"/>
  <w:proofState w:spelling="clean" w:grammar="clean"/>
  <w:trackRevisions/>
  <w:documentProtection w:edit="trackedChanges" w:enforcement="1" w:cryptProviderType="rsaAES" w:cryptAlgorithmClass="hash" w:cryptAlgorithmType="typeAny" w:cryptAlgorithmSid="14" w:cryptSpinCount="100000" w:hash="CnMk7ebrAwV5T4EMHIPMpMH3Frho5TOqUnDxMIJpmViG9piez5sY5ChvSxY9O8Aw6Ov2xO+qCgnQofCPyHWt6A==" w:salt="bYrcI+auigOkSuRRcsXdPg=="/>
  <w:defaultTabStop w:val="708"/>
  <w:hyphenationZone w:val="425"/>
  <w:evenAndOddHeaders/>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CA0"/>
    <w:rsid w:val="0001147C"/>
    <w:rsid w:val="00051399"/>
    <w:rsid w:val="00060089"/>
    <w:rsid w:val="00060BF0"/>
    <w:rsid w:val="000713C4"/>
    <w:rsid w:val="0008609D"/>
    <w:rsid w:val="000B46C3"/>
    <w:rsid w:val="000E1480"/>
    <w:rsid w:val="000F7FCE"/>
    <w:rsid w:val="00104C56"/>
    <w:rsid w:val="00112AC1"/>
    <w:rsid w:val="00116068"/>
    <w:rsid w:val="00123760"/>
    <w:rsid w:val="001249E6"/>
    <w:rsid w:val="00136444"/>
    <w:rsid w:val="001608D6"/>
    <w:rsid w:val="001871C6"/>
    <w:rsid w:val="00190286"/>
    <w:rsid w:val="001E0818"/>
    <w:rsid w:val="001E2382"/>
    <w:rsid w:val="001E47B2"/>
    <w:rsid w:val="0020102A"/>
    <w:rsid w:val="00207196"/>
    <w:rsid w:val="00211AA2"/>
    <w:rsid w:val="0021267F"/>
    <w:rsid w:val="00216F87"/>
    <w:rsid w:val="0022224A"/>
    <w:rsid w:val="00230133"/>
    <w:rsid w:val="00243126"/>
    <w:rsid w:val="00250B73"/>
    <w:rsid w:val="002548E9"/>
    <w:rsid w:val="00260167"/>
    <w:rsid w:val="00260C2E"/>
    <w:rsid w:val="0027736C"/>
    <w:rsid w:val="002A0999"/>
    <w:rsid w:val="002A1347"/>
    <w:rsid w:val="002C6D06"/>
    <w:rsid w:val="00316E6D"/>
    <w:rsid w:val="003173CC"/>
    <w:rsid w:val="003262E3"/>
    <w:rsid w:val="00326FA2"/>
    <w:rsid w:val="0033622F"/>
    <w:rsid w:val="0034045C"/>
    <w:rsid w:val="00364D4D"/>
    <w:rsid w:val="003A60F4"/>
    <w:rsid w:val="003B11EA"/>
    <w:rsid w:val="003F0309"/>
    <w:rsid w:val="003F221D"/>
    <w:rsid w:val="003F6ACB"/>
    <w:rsid w:val="00423210"/>
    <w:rsid w:val="004336F2"/>
    <w:rsid w:val="00440340"/>
    <w:rsid w:val="0044111C"/>
    <w:rsid w:val="00472284"/>
    <w:rsid w:val="00493088"/>
    <w:rsid w:val="004962FD"/>
    <w:rsid w:val="004B297D"/>
    <w:rsid w:val="004B4467"/>
    <w:rsid w:val="004F05BB"/>
    <w:rsid w:val="00500613"/>
    <w:rsid w:val="00524CF3"/>
    <w:rsid w:val="005279A2"/>
    <w:rsid w:val="00541F84"/>
    <w:rsid w:val="0054297E"/>
    <w:rsid w:val="00543484"/>
    <w:rsid w:val="005476D4"/>
    <w:rsid w:val="00551F74"/>
    <w:rsid w:val="0056292B"/>
    <w:rsid w:val="0057373F"/>
    <w:rsid w:val="00577CA0"/>
    <w:rsid w:val="00581094"/>
    <w:rsid w:val="005859AC"/>
    <w:rsid w:val="005906AB"/>
    <w:rsid w:val="00593470"/>
    <w:rsid w:val="00644E71"/>
    <w:rsid w:val="00661D7E"/>
    <w:rsid w:val="00663CA0"/>
    <w:rsid w:val="006676DC"/>
    <w:rsid w:val="00677A42"/>
    <w:rsid w:val="00691FC7"/>
    <w:rsid w:val="006C69D5"/>
    <w:rsid w:val="006E02F3"/>
    <w:rsid w:val="00704F13"/>
    <w:rsid w:val="00710CD0"/>
    <w:rsid w:val="0072215E"/>
    <w:rsid w:val="00756802"/>
    <w:rsid w:val="00760399"/>
    <w:rsid w:val="0077182D"/>
    <w:rsid w:val="007751F2"/>
    <w:rsid w:val="007752B4"/>
    <w:rsid w:val="0077725D"/>
    <w:rsid w:val="007A5ED1"/>
    <w:rsid w:val="007D2E99"/>
    <w:rsid w:val="007D5D6B"/>
    <w:rsid w:val="008529A7"/>
    <w:rsid w:val="00853564"/>
    <w:rsid w:val="00857314"/>
    <w:rsid w:val="008709BE"/>
    <w:rsid w:val="0087353A"/>
    <w:rsid w:val="00875CCA"/>
    <w:rsid w:val="008A369C"/>
    <w:rsid w:val="008C545B"/>
    <w:rsid w:val="008D0119"/>
    <w:rsid w:val="0092137D"/>
    <w:rsid w:val="009309DD"/>
    <w:rsid w:val="00936120"/>
    <w:rsid w:val="00947340"/>
    <w:rsid w:val="009530E9"/>
    <w:rsid w:val="0095502B"/>
    <w:rsid w:val="00956DAC"/>
    <w:rsid w:val="00965684"/>
    <w:rsid w:val="009B466D"/>
    <w:rsid w:val="009D2E39"/>
    <w:rsid w:val="009E6F6C"/>
    <w:rsid w:val="00A12055"/>
    <w:rsid w:val="00A1612A"/>
    <w:rsid w:val="00A54E8D"/>
    <w:rsid w:val="00A6481F"/>
    <w:rsid w:val="00A70F0D"/>
    <w:rsid w:val="00A80D9F"/>
    <w:rsid w:val="00A81A22"/>
    <w:rsid w:val="00A84E0C"/>
    <w:rsid w:val="00A85633"/>
    <w:rsid w:val="00AA4FCB"/>
    <w:rsid w:val="00AB0B32"/>
    <w:rsid w:val="00AB6EAE"/>
    <w:rsid w:val="00AC31D4"/>
    <w:rsid w:val="00AE2BCD"/>
    <w:rsid w:val="00B06F44"/>
    <w:rsid w:val="00B330E6"/>
    <w:rsid w:val="00B3369E"/>
    <w:rsid w:val="00B56174"/>
    <w:rsid w:val="00B76A6D"/>
    <w:rsid w:val="00B8074F"/>
    <w:rsid w:val="00B9537E"/>
    <w:rsid w:val="00B9753D"/>
    <w:rsid w:val="00BA2244"/>
    <w:rsid w:val="00BA4438"/>
    <w:rsid w:val="00BB6E9A"/>
    <w:rsid w:val="00BD3F8A"/>
    <w:rsid w:val="00BD6638"/>
    <w:rsid w:val="00BE349E"/>
    <w:rsid w:val="00BE5E1B"/>
    <w:rsid w:val="00BF1B11"/>
    <w:rsid w:val="00BF2F54"/>
    <w:rsid w:val="00C03B03"/>
    <w:rsid w:val="00C05757"/>
    <w:rsid w:val="00C3284E"/>
    <w:rsid w:val="00C5141A"/>
    <w:rsid w:val="00C80DE6"/>
    <w:rsid w:val="00CA39D7"/>
    <w:rsid w:val="00CB5C72"/>
    <w:rsid w:val="00CC11B6"/>
    <w:rsid w:val="00CD44F0"/>
    <w:rsid w:val="00CE2A09"/>
    <w:rsid w:val="00CF7E26"/>
    <w:rsid w:val="00D06174"/>
    <w:rsid w:val="00D43B3F"/>
    <w:rsid w:val="00D46981"/>
    <w:rsid w:val="00D66487"/>
    <w:rsid w:val="00D80A02"/>
    <w:rsid w:val="00D97993"/>
    <w:rsid w:val="00DA50D5"/>
    <w:rsid w:val="00DC328F"/>
    <w:rsid w:val="00DF5450"/>
    <w:rsid w:val="00E0562F"/>
    <w:rsid w:val="00E05EA4"/>
    <w:rsid w:val="00E135D7"/>
    <w:rsid w:val="00E3509C"/>
    <w:rsid w:val="00E40473"/>
    <w:rsid w:val="00E50F97"/>
    <w:rsid w:val="00E5171E"/>
    <w:rsid w:val="00E55642"/>
    <w:rsid w:val="00E74735"/>
    <w:rsid w:val="00E8168D"/>
    <w:rsid w:val="00EA0127"/>
    <w:rsid w:val="00EA2A11"/>
    <w:rsid w:val="00EB2064"/>
    <w:rsid w:val="00EC1E04"/>
    <w:rsid w:val="00EC5454"/>
    <w:rsid w:val="00EF1082"/>
    <w:rsid w:val="00F02E49"/>
    <w:rsid w:val="00F111FD"/>
    <w:rsid w:val="00F14655"/>
    <w:rsid w:val="00F2597F"/>
    <w:rsid w:val="00F55795"/>
    <w:rsid w:val="00F85B75"/>
    <w:rsid w:val="00FD6594"/>
    <w:rsid w:val="00FE5FF3"/>
    <w:rsid w:val="00FF073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6C58F"/>
  <w15:chartTrackingRefBased/>
  <w15:docId w15:val="{497FB6D4-FCCC-4CD3-AAD0-1981877BD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Cs w:val="22"/>
        <w:lang w:val="tr-TR"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7CA0"/>
    <w:rPr>
      <w:rFonts w:eastAsia="Times New Roman" w:cs="Times New Roman"/>
      <w:noProof/>
      <w:szCs w:val="20"/>
      <w:lang w:eastAsia="tr-TR"/>
    </w:rPr>
  </w:style>
  <w:style w:type="paragraph" w:styleId="Balk1">
    <w:name w:val="heading 1"/>
    <w:aliases w:val="1 Heading,baslık 1,Heading 1 Char"/>
    <w:basedOn w:val="Normal"/>
    <w:next w:val="Normal"/>
    <w:link w:val="Balk1Char1"/>
    <w:qFormat/>
    <w:rsid w:val="00577CA0"/>
    <w:pPr>
      <w:keepNext/>
      <w:tabs>
        <w:tab w:val="left" w:pos="567"/>
      </w:tabs>
      <w:overflowPunct w:val="0"/>
      <w:adjustRightInd w:val="0"/>
      <w:textAlignment w:val="baseline"/>
      <w:outlineLvl w:val="0"/>
    </w:pPr>
    <w:rPr>
      <w:rFonts w:eastAsia="SimSun"/>
      <w:b/>
      <w:sz w:val="28"/>
      <w:szCs w:val="24"/>
      <w:lang w:val="en-US" w:eastAsia="en-US"/>
    </w:rPr>
  </w:style>
  <w:style w:type="paragraph" w:styleId="Balk4">
    <w:name w:val="heading 4"/>
    <w:basedOn w:val="Normal"/>
    <w:next w:val="Normal"/>
    <w:link w:val="Balk4Char"/>
    <w:qFormat/>
    <w:rsid w:val="00577CA0"/>
    <w:pPr>
      <w:keepNext/>
      <w:spacing w:before="240" w:after="60"/>
      <w:outlineLvl w:val="3"/>
    </w:pPr>
    <w:rPr>
      <w:rFonts w:ascii="Times New Roman" w:hAnsi="Times New Roman"/>
      <w:b/>
      <w:bCs/>
      <w:sz w:val="28"/>
      <w:szCs w:val="28"/>
    </w:rPr>
  </w:style>
  <w:style w:type="paragraph" w:styleId="Balk5">
    <w:name w:val="heading 5"/>
    <w:basedOn w:val="Normal"/>
    <w:next w:val="Normal"/>
    <w:link w:val="Balk5Char"/>
    <w:qFormat/>
    <w:rsid w:val="00577CA0"/>
    <w:pPr>
      <w:spacing w:before="240" w:after="60"/>
      <w:outlineLvl w:val="4"/>
    </w:pPr>
    <w:rPr>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uiPriority w:val="9"/>
    <w:rsid w:val="00577CA0"/>
    <w:rPr>
      <w:rFonts w:asciiTheme="majorHAnsi" w:eastAsiaTheme="majorEastAsia" w:hAnsiTheme="majorHAnsi" w:cstheme="majorBidi"/>
      <w:noProof/>
      <w:color w:val="2E74B5" w:themeColor="accent1" w:themeShade="BF"/>
      <w:sz w:val="32"/>
      <w:szCs w:val="32"/>
      <w:lang w:eastAsia="tr-TR"/>
    </w:rPr>
  </w:style>
  <w:style w:type="character" w:customStyle="1" w:styleId="Balk4Char">
    <w:name w:val="Başlık 4 Char"/>
    <w:basedOn w:val="VarsaylanParagrafYazTipi"/>
    <w:link w:val="Balk4"/>
    <w:rsid w:val="00577CA0"/>
    <w:rPr>
      <w:rFonts w:ascii="Times New Roman" w:eastAsia="Times New Roman" w:hAnsi="Times New Roman" w:cs="Times New Roman"/>
      <w:b/>
      <w:bCs/>
      <w:noProof/>
      <w:sz w:val="28"/>
      <w:szCs w:val="28"/>
      <w:lang w:eastAsia="tr-TR"/>
    </w:rPr>
  </w:style>
  <w:style w:type="character" w:customStyle="1" w:styleId="Balk5Char">
    <w:name w:val="Başlık 5 Char"/>
    <w:basedOn w:val="VarsaylanParagrafYazTipi"/>
    <w:link w:val="Balk5"/>
    <w:rsid w:val="00577CA0"/>
    <w:rPr>
      <w:rFonts w:eastAsia="Times New Roman" w:cs="Times New Roman"/>
      <w:b/>
      <w:bCs/>
      <w:i/>
      <w:iCs/>
      <w:noProof/>
      <w:sz w:val="26"/>
      <w:szCs w:val="26"/>
      <w:lang w:eastAsia="tr-TR"/>
    </w:rPr>
  </w:style>
  <w:style w:type="paragraph" w:styleId="GvdeMetni">
    <w:name w:val="Body Text"/>
    <w:basedOn w:val="Normal"/>
    <w:link w:val="GvdeMetniChar"/>
    <w:rsid w:val="00577CA0"/>
    <w:rPr>
      <w:b/>
    </w:rPr>
  </w:style>
  <w:style w:type="character" w:customStyle="1" w:styleId="GvdeMetniChar">
    <w:name w:val="Gövde Metni Char"/>
    <w:basedOn w:val="VarsaylanParagrafYazTipi"/>
    <w:link w:val="GvdeMetni"/>
    <w:rsid w:val="00577CA0"/>
    <w:rPr>
      <w:rFonts w:eastAsia="Times New Roman" w:cs="Times New Roman"/>
      <w:b/>
      <w:noProof/>
      <w:szCs w:val="20"/>
      <w:lang w:eastAsia="tr-TR"/>
    </w:rPr>
  </w:style>
  <w:style w:type="character" w:customStyle="1" w:styleId="Balk1Char1">
    <w:name w:val="Başlık 1 Char1"/>
    <w:aliases w:val="Başlık 1 Char Char,1 Heading Char,baslık 1 Char,Heading 1 Char Char"/>
    <w:link w:val="Balk1"/>
    <w:rsid w:val="00577CA0"/>
    <w:rPr>
      <w:rFonts w:eastAsia="SimSun" w:cs="Times New Roman"/>
      <w:b/>
      <w:noProof/>
      <w:sz w:val="28"/>
      <w:szCs w:val="24"/>
      <w:lang w:val="en-US"/>
    </w:rPr>
  </w:style>
  <w:style w:type="paragraph" w:customStyle="1" w:styleId="zzCoverTr">
    <w:name w:val="zzCoverTr"/>
    <w:basedOn w:val="Normal"/>
    <w:rsid w:val="00577CA0"/>
    <w:pPr>
      <w:spacing w:before="240" w:after="120" w:line="259" w:lineRule="auto"/>
      <w:ind w:right="253"/>
      <w:jc w:val="left"/>
    </w:pPr>
    <w:rPr>
      <w:rFonts w:ascii="Cambria" w:eastAsia="Cambria" w:hAnsi="Cambria" w:cs="Arial"/>
      <w:bCs/>
      <w:noProof w:val="0"/>
      <w:sz w:val="32"/>
      <w:szCs w:val="22"/>
      <w:lang w:eastAsia="en-US"/>
    </w:rPr>
  </w:style>
  <w:style w:type="paragraph" w:customStyle="1" w:styleId="zzCoverEn">
    <w:name w:val="zzCoverEn"/>
    <w:basedOn w:val="zzCoverTr"/>
    <w:rsid w:val="00577CA0"/>
    <w:pPr>
      <w:spacing w:before="0" w:after="0"/>
      <w:ind w:left="130" w:right="255"/>
    </w:pPr>
    <w:rPr>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Belge" ma:contentTypeID="0x010100002D2F7FD1B9D74890921FF65D7419B1" ma:contentTypeVersion="" ma:contentTypeDescription="Yeni belge oluşturun." ma:contentTypeScope="" ma:versionID="b76f46444447760ffcab386a0aa531d5">
  <xsd:schema xmlns:xsd="http://www.w3.org/2001/XMLSchema" xmlns:xs="http://www.w3.org/2001/XMLSchema" xmlns:p="http://schemas.microsoft.com/office/2006/metadata/properties" xmlns:ns2="a8bff02d-1d34-47fc-ae14-a7aff9a074a3" targetNamespace="http://schemas.microsoft.com/office/2006/metadata/properties" ma:root="true" ma:fieldsID="53fd00a9ff549ddc049b06a0595ef571" ns2:_="">
    <xsd:import namespace="a8bff02d-1d34-47fc-ae14-a7aff9a074a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bff02d-1d34-47fc-ae14-a7aff9a074a3" elementFormDefault="qualified">
    <xsd:import namespace="http://schemas.microsoft.com/office/2006/documentManagement/types"/>
    <xsd:import namespace="http://schemas.microsoft.com/office/infopath/2007/PartnerControls"/>
    <xsd:element name="SharedWithUsers" ma:index="8" nillable="true" ma:displayName="Paylaşılanla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çerik Türü"/>
        <xsd:element ref="dc:title" minOccurs="0" maxOccurs="1" ma:index="4" ma:displayName="Başlı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A7732F6-2ED0-491B-87CC-9281578F1C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bff02d-1d34-47fc-ae14-a7aff9a07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8243CF-4A06-4887-BDA8-EE15CCCA2A34}">
  <ds:schemaRefs>
    <ds:schemaRef ds:uri="http://schemas.microsoft.com/sharepoint/v3/contenttype/forms"/>
  </ds:schemaRefs>
</ds:datastoreItem>
</file>

<file path=customXml/itemProps3.xml><?xml version="1.0" encoding="utf-8"?>
<ds:datastoreItem xmlns:ds="http://schemas.openxmlformats.org/officeDocument/2006/customXml" ds:itemID="{19D438B8-5C3B-4EAB-8E28-FB9D5DA9F49B}">
  <ds:schemaRefs>
    <ds:schemaRef ds:uri="http://purl.org/dc/elements/1.1/"/>
    <ds:schemaRef ds:uri="http://schemas.microsoft.com/office/infopath/2007/PartnerControls"/>
    <ds:schemaRef ds:uri="http://purl.org/dc/terms/"/>
    <ds:schemaRef ds:uri="a8bff02d-1d34-47fc-ae14-a7aff9a074a3"/>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278</Words>
  <Characters>1589</Characters>
  <Application>Microsoft Office Word</Application>
  <DocSecurity>0</DocSecurity>
  <Lines>13</Lines>
  <Paragraphs>3</Paragraphs>
  <ScaleCrop>false</ScaleCrop>
  <Company>TSE</Company>
  <LinksUpToDate>false</LinksUpToDate>
  <CharactersWithSpaces>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Aslı ERZURUMDAĞ</dc:creator>
  <cp:keywords/>
  <dc:description/>
  <cp:lastModifiedBy>Aslı ERZURUMDAĞ</cp:lastModifiedBy>
  <cp:revision>1</cp:revision>
  <dcterms:created xsi:type="dcterms:W3CDTF">2018-02-26T07:57:00Z</dcterms:created>
  <dcterms:modified xsi:type="dcterms:W3CDTF">2018-02-26T08:03:00Z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0x010100002D2F7FD1B9D74890921FF65D7419B1</vt:lpwstr>
  </property>
</Properties>
</file>